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73" w:rsidRDefault="00822173" w:rsidP="008221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Introduction to Metals</w:t>
      </w:r>
    </w:p>
    <w:p w:rsidR="00822173" w:rsidRDefault="00822173" w:rsidP="00822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Instructor</w:t>
      </w:r>
    </w:p>
    <w:p w:rsidR="00822173" w:rsidRPr="003B4A91" w:rsidRDefault="00822173" w:rsidP="0082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A9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r w:rsidRPr="003B4A91">
        <w:rPr>
          <w:rFonts w:ascii="Times New Roman" w:hAnsi="Times New Roman" w:cs="Times New Roman"/>
          <w:sz w:val="24"/>
          <w:szCs w:val="24"/>
        </w:rPr>
        <w:t>Swartz</w:t>
      </w:r>
    </w:p>
    <w:p w:rsidR="00822173" w:rsidRDefault="003730CF" w:rsidP="0082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2173" w:rsidRPr="008A498D">
          <w:rPr>
            <w:rStyle w:val="Hyperlink"/>
            <w:rFonts w:ascii="Times New Roman" w:hAnsi="Times New Roman" w:cs="Times New Roman"/>
            <w:sz w:val="24"/>
            <w:szCs w:val="24"/>
          </w:rPr>
          <w:t>mswartz@isd740.org</w:t>
        </w:r>
      </w:hyperlink>
    </w:p>
    <w:p w:rsidR="00822173" w:rsidRPr="003B4A91" w:rsidRDefault="00822173" w:rsidP="0082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320-256-5160 ext. 4407</w:t>
      </w:r>
    </w:p>
    <w:p w:rsidR="00822173" w:rsidRPr="00D607B3" w:rsidRDefault="00822173" w:rsidP="008221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</w:p>
    <w:p w:rsidR="00822173" w:rsidRPr="00673B45" w:rsidRDefault="00822173" w:rsidP="00673B45">
      <w:pPr>
        <w:rPr>
          <w:rFonts w:ascii="Times New Roman" w:hAnsi="Times New Roman" w:cs="Times New Roman"/>
          <w:sz w:val="24"/>
          <w:szCs w:val="24"/>
        </w:rPr>
      </w:pPr>
      <w:r w:rsidRPr="00B231CD">
        <w:rPr>
          <w:rFonts w:ascii="Times New Roman" w:hAnsi="Times New Roman" w:cs="Times New Roman"/>
          <w:sz w:val="24"/>
          <w:szCs w:val="24"/>
        </w:rPr>
        <w:t xml:space="preserve">This introductory course is designed to provide </w:t>
      </w:r>
      <w:r w:rsidR="00B231CD" w:rsidRPr="00B231CD">
        <w:rPr>
          <w:rFonts w:ascii="Times New Roman" w:hAnsi="Times New Roman" w:cs="Times New Roman"/>
          <w:sz w:val="24"/>
          <w:szCs w:val="24"/>
        </w:rPr>
        <w:t>information and skills in welding and fabrication</w:t>
      </w:r>
      <w:r w:rsidRPr="00B231CD">
        <w:rPr>
          <w:rFonts w:ascii="Times New Roman" w:hAnsi="Times New Roman" w:cs="Times New Roman"/>
          <w:sz w:val="24"/>
          <w:szCs w:val="24"/>
        </w:rPr>
        <w:t xml:space="preserve">. </w:t>
      </w:r>
      <w:r w:rsidR="00B231CD" w:rsidRPr="00B231CD">
        <w:rPr>
          <w:rFonts w:ascii="Times New Roman" w:hAnsi="Times New Roman" w:cs="Times New Roman"/>
          <w:sz w:val="24"/>
          <w:szCs w:val="24"/>
        </w:rPr>
        <w:t>Students will explain and demonstrate safety procedures in oxy-acetylene cutting, heating, and gas welding</w:t>
      </w:r>
      <w:r w:rsidR="00673B45">
        <w:rPr>
          <w:rFonts w:ascii="Times New Roman" w:hAnsi="Times New Roman" w:cs="Times New Roman"/>
          <w:sz w:val="24"/>
          <w:szCs w:val="24"/>
        </w:rPr>
        <w:t>,</w:t>
      </w:r>
      <w:r w:rsidR="00B231CD" w:rsidRPr="00B231CD">
        <w:rPr>
          <w:rFonts w:ascii="Times New Roman" w:hAnsi="Times New Roman" w:cs="Times New Roman"/>
          <w:sz w:val="24"/>
          <w:szCs w:val="24"/>
        </w:rPr>
        <w:t xml:space="preserve"> </w:t>
      </w:r>
      <w:r w:rsidR="00673B45" w:rsidRPr="00B231CD">
        <w:rPr>
          <w:rFonts w:ascii="Times New Roman" w:hAnsi="Times New Roman" w:cs="Times New Roman"/>
          <w:sz w:val="24"/>
          <w:szCs w:val="24"/>
        </w:rPr>
        <w:t>Gas Metal Arc Welding (GMAW-S)</w:t>
      </w:r>
      <w:r w:rsidR="00673B45">
        <w:rPr>
          <w:rFonts w:ascii="Times New Roman" w:hAnsi="Times New Roman" w:cs="Times New Roman"/>
          <w:sz w:val="24"/>
          <w:szCs w:val="24"/>
        </w:rPr>
        <w:t xml:space="preserve">, </w:t>
      </w:r>
      <w:r w:rsidR="00673B45" w:rsidRPr="00B231CD">
        <w:rPr>
          <w:rFonts w:ascii="Times New Roman" w:hAnsi="Times New Roman" w:cs="Times New Roman"/>
          <w:sz w:val="24"/>
          <w:szCs w:val="24"/>
        </w:rPr>
        <w:t>Shielded Metal Arc Welding (SMAW),</w:t>
      </w:r>
      <w:r w:rsidR="00673B45" w:rsidRPr="00673B45">
        <w:rPr>
          <w:rFonts w:ascii="Times New Roman" w:hAnsi="Times New Roman" w:cs="Times New Roman"/>
          <w:sz w:val="24"/>
          <w:szCs w:val="24"/>
        </w:rPr>
        <w:t xml:space="preserve"> </w:t>
      </w:r>
      <w:r w:rsidR="00673B45">
        <w:rPr>
          <w:rFonts w:ascii="Times New Roman" w:hAnsi="Times New Roman" w:cs="Times New Roman"/>
          <w:sz w:val="24"/>
          <w:szCs w:val="24"/>
        </w:rPr>
        <w:t xml:space="preserve">Flux Core Arc Welding (FCAW) </w:t>
      </w:r>
      <w:r w:rsidR="00673B45" w:rsidRPr="00B231CD">
        <w:rPr>
          <w:rFonts w:ascii="Times New Roman" w:hAnsi="Times New Roman" w:cs="Times New Roman"/>
          <w:sz w:val="24"/>
          <w:szCs w:val="24"/>
        </w:rPr>
        <w:t>procedures on metal</w:t>
      </w:r>
      <w:r w:rsidR="00673B45">
        <w:rPr>
          <w:rFonts w:ascii="Times New Roman" w:hAnsi="Times New Roman" w:cs="Times New Roman"/>
          <w:sz w:val="24"/>
          <w:szCs w:val="24"/>
        </w:rPr>
        <w:t xml:space="preserve"> </w:t>
      </w:r>
      <w:r w:rsidR="00673B45" w:rsidRPr="00B231CD">
        <w:rPr>
          <w:rFonts w:ascii="Times New Roman" w:hAnsi="Times New Roman" w:cs="Times New Roman"/>
          <w:sz w:val="24"/>
          <w:szCs w:val="24"/>
        </w:rPr>
        <w:t>and other related safety working conditions in the welding field</w:t>
      </w:r>
      <w:proofErr w:type="gramStart"/>
      <w:r w:rsidR="00673B45" w:rsidRPr="00B231CD">
        <w:rPr>
          <w:rFonts w:ascii="Times New Roman" w:hAnsi="Times New Roman" w:cs="Times New Roman"/>
          <w:sz w:val="24"/>
          <w:szCs w:val="24"/>
        </w:rPr>
        <w:t>.</w:t>
      </w:r>
      <w:r w:rsidR="00673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B45">
        <w:rPr>
          <w:rFonts w:ascii="Times New Roman" w:hAnsi="Times New Roman" w:cs="Times New Roman"/>
          <w:sz w:val="24"/>
          <w:szCs w:val="24"/>
        </w:rPr>
        <w:t xml:space="preserve">  </w:t>
      </w:r>
      <w:r w:rsidR="00673B45" w:rsidRPr="00B231CD">
        <w:rPr>
          <w:rFonts w:ascii="Times New Roman" w:hAnsi="Times New Roman" w:cs="Times New Roman"/>
          <w:sz w:val="24"/>
          <w:szCs w:val="24"/>
        </w:rPr>
        <w:t xml:space="preserve">Time will be spent in </w:t>
      </w:r>
      <w:r w:rsidR="008816EB">
        <w:rPr>
          <w:rFonts w:ascii="Times New Roman" w:hAnsi="Times New Roman" w:cs="Times New Roman"/>
          <w:sz w:val="24"/>
          <w:szCs w:val="24"/>
        </w:rPr>
        <w:t xml:space="preserve">lecture and in </w:t>
      </w:r>
      <w:r w:rsidR="00673B45" w:rsidRPr="00B231CD">
        <w:rPr>
          <w:rFonts w:ascii="Times New Roman" w:hAnsi="Times New Roman" w:cs="Times New Roman"/>
          <w:sz w:val="24"/>
          <w:szCs w:val="24"/>
        </w:rPr>
        <w:t>the lab developing skills</w:t>
      </w:r>
      <w:r w:rsidR="00673B45">
        <w:rPr>
          <w:rFonts w:ascii="Times New Roman" w:hAnsi="Times New Roman" w:cs="Times New Roman"/>
          <w:sz w:val="24"/>
          <w:szCs w:val="24"/>
        </w:rPr>
        <w:t xml:space="preserve"> related to manufacturing (welding) careers.</w:t>
      </w:r>
    </w:p>
    <w:p w:rsidR="00822173" w:rsidRDefault="00822173" w:rsidP="008221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Standards</w:t>
      </w:r>
      <w:bookmarkStart w:id="0" w:name="_GoBack"/>
      <w:bookmarkEnd w:id="0"/>
    </w:p>
    <w:p w:rsidR="00822173" w:rsidRPr="00673B45" w:rsidRDefault="00673B45" w:rsidP="00822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45">
        <w:rPr>
          <w:rFonts w:ascii="Times New Roman" w:hAnsi="Times New Roman" w:cs="Times New Roman"/>
          <w:sz w:val="24"/>
          <w:szCs w:val="24"/>
        </w:rPr>
        <w:t>STL</w:t>
      </w:r>
      <w:r w:rsidR="00822173" w:rsidRPr="00673B45">
        <w:rPr>
          <w:rFonts w:ascii="Times New Roman" w:hAnsi="Times New Roman" w:cs="Times New Roman"/>
          <w:sz w:val="24"/>
          <w:szCs w:val="24"/>
        </w:rPr>
        <w:t>, State and National Common Core Standards</w:t>
      </w:r>
    </w:p>
    <w:p w:rsidR="00B231CD" w:rsidRPr="00B231CD" w:rsidRDefault="00B231CD" w:rsidP="00822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1CD">
        <w:rPr>
          <w:rFonts w:ascii="Times New Roman" w:hAnsi="Times New Roman" w:cs="Times New Roman"/>
          <w:sz w:val="24"/>
          <w:szCs w:val="24"/>
        </w:rPr>
        <w:t>Standard 2,7,12, 18, 19</w:t>
      </w:r>
      <w:proofErr w:type="gramStart"/>
      <w:r w:rsidRPr="00B231CD">
        <w:rPr>
          <w:rFonts w:ascii="Times New Roman" w:hAnsi="Times New Roman" w:cs="Times New Roman"/>
          <w:sz w:val="24"/>
          <w:szCs w:val="24"/>
        </w:rPr>
        <w:t>,20</w:t>
      </w:r>
      <w:proofErr w:type="gramEnd"/>
    </w:p>
    <w:p w:rsidR="00822173" w:rsidRPr="004F74A7" w:rsidRDefault="00822173" w:rsidP="00822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Levels:</w:t>
      </w:r>
    </w:p>
    <w:p w:rsidR="00822173" w:rsidRPr="004F74A7" w:rsidRDefault="00822173" w:rsidP="0082217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F74A7">
        <w:rPr>
          <w:rFonts w:ascii="Times New Roman" w:eastAsia="Times New Roman" w:hAnsi="Times New Roman" w:cs="Times New Roman"/>
          <w:sz w:val="24"/>
          <w:szCs w:val="24"/>
        </w:rPr>
        <w:t>9-12</w:t>
      </w:r>
    </w:p>
    <w:p w:rsidR="00822173" w:rsidRPr="004F74A7" w:rsidRDefault="00822173" w:rsidP="00822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hAnsi="Times New Roman" w:cs="Times New Roman"/>
          <w:b/>
          <w:bCs/>
          <w:sz w:val="24"/>
          <w:szCs w:val="24"/>
        </w:rPr>
        <w:t>Course Level:</w:t>
      </w:r>
    </w:p>
    <w:p w:rsidR="00822173" w:rsidRPr="004F74A7" w:rsidRDefault="00822173" w:rsidP="0082217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F74A7">
        <w:rPr>
          <w:rFonts w:ascii="Times New Roman" w:hAnsi="Times New Roman" w:cs="Times New Roman"/>
          <w:sz w:val="24"/>
          <w:szCs w:val="24"/>
        </w:rPr>
        <w:t>Introductory</w:t>
      </w:r>
    </w:p>
    <w:p w:rsidR="00822173" w:rsidRPr="004F74A7" w:rsidRDefault="00822173" w:rsidP="00822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hAnsi="Times New Roman" w:cs="Times New Roman"/>
          <w:b/>
          <w:bCs/>
          <w:sz w:val="24"/>
          <w:szCs w:val="24"/>
        </w:rPr>
        <w:t>Course Length:</w:t>
      </w:r>
    </w:p>
    <w:p w:rsidR="00822173" w:rsidRPr="004F74A7" w:rsidRDefault="003730CF" w:rsidP="00822173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E72F6">
        <w:rPr>
          <w:rFonts w:ascii="Times New Roman" w:hAnsi="Times New Roman" w:cs="Times New Roman"/>
          <w:sz w:val="24"/>
          <w:szCs w:val="24"/>
        </w:rPr>
        <w:t xml:space="preserve"> </w:t>
      </w:r>
      <w:r w:rsidR="00822173" w:rsidRPr="004F74A7">
        <w:rPr>
          <w:rFonts w:ascii="Times New Roman" w:hAnsi="Times New Roman" w:cs="Times New Roman"/>
          <w:sz w:val="24"/>
          <w:szCs w:val="24"/>
        </w:rPr>
        <w:t xml:space="preserve"> weeks</w:t>
      </w:r>
    </w:p>
    <w:p w:rsidR="00B231CD" w:rsidRDefault="00D607B3" w:rsidP="00B231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eastAsia="Times New Roman" w:hAnsi="Times New Roman" w:cs="Times New Roman"/>
          <w:b/>
          <w:bCs/>
          <w:sz w:val="24"/>
          <w:szCs w:val="24"/>
        </w:rPr>
        <w:t>Pathways</w:t>
      </w:r>
      <w:r w:rsidR="00B61B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2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31CD" w:rsidRPr="00B231CD" w:rsidRDefault="00822173" w:rsidP="00B231CD">
      <w:pPr>
        <w:pStyle w:val="ListParagraph"/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1CD">
        <w:rPr>
          <w:rFonts w:ascii="Times New Roman" w:eastAsia="Times New Roman" w:hAnsi="Times New Roman" w:cs="Times New Roman"/>
          <w:bCs/>
          <w:sz w:val="24"/>
          <w:szCs w:val="24"/>
        </w:rPr>
        <w:t>Manufacturing</w:t>
      </w:r>
    </w:p>
    <w:p w:rsidR="00D607B3" w:rsidRPr="00D607B3" w:rsidRDefault="00D607B3" w:rsidP="00B231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hAnsi="Times New Roman" w:cs="Times New Roman"/>
          <w:b/>
          <w:bCs/>
          <w:sz w:val="24"/>
          <w:szCs w:val="24"/>
        </w:rPr>
        <w:t>Course Type</w:t>
      </w:r>
      <w:r w:rsidR="00B61B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07B3" w:rsidRDefault="00D607B3" w:rsidP="00B231CD">
      <w:pPr>
        <w:pStyle w:val="ListParagraph"/>
        <w:numPr>
          <w:ilvl w:val="0"/>
          <w:numId w:val="22"/>
        </w:num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44A4B">
        <w:rPr>
          <w:rFonts w:ascii="Times New Roman" w:hAnsi="Times New Roman" w:cs="Times New Roman"/>
          <w:sz w:val="24"/>
          <w:szCs w:val="24"/>
        </w:rPr>
        <w:t>Career-Technical Preparation</w:t>
      </w:r>
    </w:p>
    <w:p w:rsidR="00673B45" w:rsidRPr="00D10B1C" w:rsidRDefault="00D10B1C" w:rsidP="00D10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B1C">
        <w:rPr>
          <w:rFonts w:ascii="Times New Roman" w:hAnsi="Times New Roman" w:cs="Times New Roman"/>
          <w:b/>
          <w:sz w:val="24"/>
          <w:szCs w:val="24"/>
        </w:rPr>
        <w:t>Topics</w:t>
      </w:r>
    </w:p>
    <w:tbl>
      <w:tblPr>
        <w:tblStyle w:val="TableGrid"/>
        <w:tblW w:w="19304" w:type="dxa"/>
        <w:tblLook w:val="04A0" w:firstRow="1" w:lastRow="0" w:firstColumn="1" w:lastColumn="0" w:noHBand="0" w:noVBand="1"/>
      </w:tblPr>
      <w:tblGrid>
        <w:gridCol w:w="3708"/>
        <w:gridCol w:w="3240"/>
        <w:gridCol w:w="3600"/>
        <w:gridCol w:w="3930"/>
        <w:gridCol w:w="4826"/>
      </w:tblGrid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9" w:anchor="outline-unit-21172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Careers in Welding Technology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0" w:anchor="outline-unit-21179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Inspection and Quality Control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1" w:anchor="outline-unit-21187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SMAW -Shielded Metal Arc Welding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  <w:tcBorders>
              <w:top w:val="nil"/>
            </w:tcBorders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2" w:anchor="outline-unit-21173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Welding Systems and Tools</w:t>
              </w:r>
            </w:hyperlink>
          </w:p>
          <w:p w:rsidR="00BF405A" w:rsidRDefault="00BF405A" w:rsidP="00BF405A">
            <w:pPr>
              <w:tabs>
                <w:tab w:val="left" w:pos="25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3" w:anchor="outline-unit-21180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Grinding and Finishing Processes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4" w:anchor="outline-unit-21188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FCAW Flux Core Arc Welding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5" w:anchor="outline-unit-21175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Metal Characteristics and Identification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6" w:anchor="outline-unit-21181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Manual plasma cutting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7" w:anchor="outline-unit-21189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GMAW Gas Metal Arc Welding</w:t>
              </w:r>
            </w:hyperlink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8" w:anchor="outline-unit-21174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Tools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19" w:anchor="outline-unit-21183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Welding Positions and Joints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0" w:anchor="outline-unit-21190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GTAW Gas Tungsten Arc Welding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1" w:anchor="outline-unit-21176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Measuring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Default="003730CF" w:rsidP="00BF405A">
            <w:pPr>
              <w:rPr>
                <w:rFonts w:ascii="Times New Roman" w:hAnsi="Times New Roman" w:cs="Times New Roman"/>
              </w:rPr>
            </w:pPr>
            <w:hyperlink r:id="rId22" w:anchor="outline-unit-21184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Oxy-Fuel Welding and Processes</w:t>
              </w:r>
            </w:hyperlink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3" w:anchor="outline-unit-21193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Projects-Beginning Level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4" w:anchor="outline-unit-21177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Planning and Layout Operations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5" w:anchor="outline-unit-21185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Processing Materials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Pr="00673B45" w:rsidRDefault="003730CF" w:rsidP="00BF405A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26" w:anchor="outline-unit-21194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Projects-Advanced Level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rPr>
          <w:trHeight w:val="144"/>
        </w:trPr>
        <w:tc>
          <w:tcPr>
            <w:tcW w:w="3708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7" w:anchor="outline-unit-21178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Blueprint Reading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F405A" w:rsidRPr="00673B45" w:rsidRDefault="003730CF" w:rsidP="00BF405A">
            <w:pPr>
              <w:rPr>
                <w:rFonts w:ascii="Times New Roman" w:hAnsi="Times New Roman" w:cs="Times New Roman"/>
              </w:rPr>
            </w:pPr>
            <w:hyperlink r:id="rId28" w:anchor="outline-unit-21186" w:history="1">
              <w:r w:rsidR="00BF405A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Welding Assembly Processes</w:t>
              </w:r>
            </w:hyperlink>
          </w:p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10B1C" w:rsidRPr="00673B45" w:rsidRDefault="003730CF" w:rsidP="00D10B1C">
            <w:pPr>
              <w:rPr>
                <w:rFonts w:ascii="Times New Roman" w:hAnsi="Times New Roman" w:cs="Times New Roman"/>
              </w:rPr>
            </w:pPr>
            <w:hyperlink r:id="rId29" w:anchor="outline-unit-21171" w:history="1">
              <w:r w:rsidR="00D10B1C" w:rsidRPr="00673B4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Safety</w:t>
              </w:r>
            </w:hyperlink>
          </w:p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Pr="00673B45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  <w:tr w:rsidR="00BF405A" w:rsidTr="00BF405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948" w:type="dxa"/>
            <w:gridSpan w:val="2"/>
          </w:tcPr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405A" w:rsidRDefault="00BF405A" w:rsidP="00BF405A">
            <w:pPr>
              <w:rPr>
                <w:rFonts w:ascii="Times New Roman" w:hAnsi="Times New Roman" w:cs="Times New Roman"/>
              </w:rPr>
            </w:pPr>
          </w:p>
        </w:tc>
      </w:tr>
    </w:tbl>
    <w:p w:rsidR="00B231CD" w:rsidRPr="003731CF" w:rsidRDefault="00B231CD" w:rsidP="00D10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231CD" w:rsidRPr="003731C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E" w:rsidRDefault="00FF732E" w:rsidP="00FF732E">
      <w:pPr>
        <w:spacing w:after="0" w:line="240" w:lineRule="auto"/>
      </w:pPr>
      <w:r>
        <w:separator/>
      </w:r>
    </w:p>
  </w:endnote>
  <w:end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E" w:rsidRDefault="00FF732E" w:rsidP="00FF732E">
      <w:pPr>
        <w:spacing w:after="0" w:line="240" w:lineRule="auto"/>
      </w:pPr>
      <w:r>
        <w:separator/>
      </w:r>
    </w:p>
  </w:footnote>
  <w:foot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Header"/>
    </w:pPr>
    <w:r>
      <w:t>Wednesday, August 29,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7" w:rsidRDefault="00666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59"/>
    <w:multiLevelType w:val="multilevel"/>
    <w:tmpl w:val="725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532A"/>
    <w:multiLevelType w:val="hybridMultilevel"/>
    <w:tmpl w:val="5DC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B60"/>
    <w:multiLevelType w:val="multilevel"/>
    <w:tmpl w:val="629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D750C"/>
    <w:multiLevelType w:val="multilevel"/>
    <w:tmpl w:val="1F6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A735F"/>
    <w:multiLevelType w:val="multilevel"/>
    <w:tmpl w:val="A7B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52FB1"/>
    <w:multiLevelType w:val="multilevel"/>
    <w:tmpl w:val="A0E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CC3"/>
    <w:multiLevelType w:val="hybridMultilevel"/>
    <w:tmpl w:val="4052D90E"/>
    <w:lvl w:ilvl="0" w:tplc="C6D8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4DEB"/>
    <w:multiLevelType w:val="multilevel"/>
    <w:tmpl w:val="083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6AB6"/>
    <w:multiLevelType w:val="multilevel"/>
    <w:tmpl w:val="407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58F1"/>
    <w:multiLevelType w:val="multilevel"/>
    <w:tmpl w:val="B04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85456"/>
    <w:multiLevelType w:val="multilevel"/>
    <w:tmpl w:val="532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605C1"/>
    <w:multiLevelType w:val="multilevel"/>
    <w:tmpl w:val="DE4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4597"/>
    <w:multiLevelType w:val="hybridMultilevel"/>
    <w:tmpl w:val="FCF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4EE4"/>
    <w:multiLevelType w:val="hybridMultilevel"/>
    <w:tmpl w:val="1BC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E7B0C"/>
    <w:multiLevelType w:val="multilevel"/>
    <w:tmpl w:val="B46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86A25"/>
    <w:multiLevelType w:val="hybridMultilevel"/>
    <w:tmpl w:val="1D3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4482C"/>
    <w:multiLevelType w:val="multilevel"/>
    <w:tmpl w:val="0D2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66A2E"/>
    <w:multiLevelType w:val="multilevel"/>
    <w:tmpl w:val="705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72E81"/>
    <w:multiLevelType w:val="hybridMultilevel"/>
    <w:tmpl w:val="1B2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8C7"/>
    <w:multiLevelType w:val="multilevel"/>
    <w:tmpl w:val="79E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64A1E"/>
    <w:multiLevelType w:val="multilevel"/>
    <w:tmpl w:val="428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77FA8"/>
    <w:multiLevelType w:val="hybridMultilevel"/>
    <w:tmpl w:val="61B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A3DAD"/>
    <w:multiLevelType w:val="hybridMultilevel"/>
    <w:tmpl w:val="AE4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B4A67"/>
    <w:multiLevelType w:val="multilevel"/>
    <w:tmpl w:val="4D8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C7275"/>
    <w:multiLevelType w:val="multilevel"/>
    <w:tmpl w:val="849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E29FC"/>
    <w:multiLevelType w:val="multilevel"/>
    <w:tmpl w:val="C0E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E6399"/>
    <w:multiLevelType w:val="multilevel"/>
    <w:tmpl w:val="85B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21A00"/>
    <w:multiLevelType w:val="multilevel"/>
    <w:tmpl w:val="41F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31D07"/>
    <w:multiLevelType w:val="hybridMultilevel"/>
    <w:tmpl w:val="B41C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3555E"/>
    <w:multiLevelType w:val="hybridMultilevel"/>
    <w:tmpl w:val="5D4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16BDE"/>
    <w:multiLevelType w:val="multilevel"/>
    <w:tmpl w:val="E0E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5"/>
  </w:num>
  <w:num w:numId="5">
    <w:abstractNumId w:val="30"/>
  </w:num>
  <w:num w:numId="6">
    <w:abstractNumId w:val="26"/>
  </w:num>
  <w:num w:numId="7">
    <w:abstractNumId w:val="19"/>
  </w:num>
  <w:num w:numId="8">
    <w:abstractNumId w:val="2"/>
  </w:num>
  <w:num w:numId="9">
    <w:abstractNumId w:val="24"/>
  </w:num>
  <w:num w:numId="10">
    <w:abstractNumId w:val="20"/>
  </w:num>
  <w:num w:numId="11">
    <w:abstractNumId w:val="23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29"/>
  </w:num>
  <w:num w:numId="22">
    <w:abstractNumId w:val="18"/>
  </w:num>
  <w:num w:numId="23">
    <w:abstractNumId w:val="28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27"/>
  </w:num>
  <w:num w:numId="29">
    <w:abstractNumId w:val="22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3"/>
    <w:rsid w:val="00017AF9"/>
    <w:rsid w:val="00065177"/>
    <w:rsid w:val="001F2FA7"/>
    <w:rsid w:val="00215374"/>
    <w:rsid w:val="002232A5"/>
    <w:rsid w:val="00244A4B"/>
    <w:rsid w:val="0029419B"/>
    <w:rsid w:val="002A7FD2"/>
    <w:rsid w:val="003730CF"/>
    <w:rsid w:val="003731CF"/>
    <w:rsid w:val="004C223D"/>
    <w:rsid w:val="005929D1"/>
    <w:rsid w:val="005C62AE"/>
    <w:rsid w:val="00666527"/>
    <w:rsid w:val="00673B45"/>
    <w:rsid w:val="00677ACB"/>
    <w:rsid w:val="007859B6"/>
    <w:rsid w:val="00822173"/>
    <w:rsid w:val="008816EB"/>
    <w:rsid w:val="008B4A0D"/>
    <w:rsid w:val="00AF630F"/>
    <w:rsid w:val="00B231CD"/>
    <w:rsid w:val="00B359F0"/>
    <w:rsid w:val="00B61B7A"/>
    <w:rsid w:val="00BF405A"/>
    <w:rsid w:val="00C203C9"/>
    <w:rsid w:val="00D10B1C"/>
    <w:rsid w:val="00D607B3"/>
    <w:rsid w:val="00D61E8A"/>
    <w:rsid w:val="00D85054"/>
    <w:rsid w:val="00DE72F6"/>
    <w:rsid w:val="00E33922"/>
    <w:rsid w:val="00EB3467"/>
    <w:rsid w:val="00FB756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05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05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409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76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85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4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14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83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69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891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983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59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1205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234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205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55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69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93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120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299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467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81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66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54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69762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32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28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7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75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768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141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6479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825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</w:div>
            <w:div w:id="187114511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253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514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3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152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6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324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1341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957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artz@isd740.org" TargetMode="External"/><Relationship Id="rId13" Type="http://schemas.openxmlformats.org/officeDocument/2006/relationships/hyperlink" Target="https://www.cteonline.org/curriculum/outline/welding-technology-model/cMb2Kf" TargetMode="External"/><Relationship Id="rId18" Type="http://schemas.openxmlformats.org/officeDocument/2006/relationships/hyperlink" Target="https://www.cteonline.org/curriculum/outline/welding-technology-model/cMb2Kf" TargetMode="External"/><Relationship Id="rId26" Type="http://schemas.openxmlformats.org/officeDocument/2006/relationships/hyperlink" Target="https://www.cteonline.org/curriculum/outline/welding-technology-model/cMb2K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teonline.org/curriculum/outline/welding-technology-model/cMb2K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teonline.org/curriculum/outline/welding-technology-model/cMb2Kf" TargetMode="External"/><Relationship Id="rId17" Type="http://schemas.openxmlformats.org/officeDocument/2006/relationships/hyperlink" Target="https://www.cteonline.org/curriculum/outline/welding-technology-model/cMb2Kf" TargetMode="External"/><Relationship Id="rId25" Type="http://schemas.openxmlformats.org/officeDocument/2006/relationships/hyperlink" Target="https://www.cteonline.org/curriculum/outline/welding-technology-model/cMb2K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teonline.org/curriculum/outline/welding-technology-model/cMb2Kf" TargetMode="External"/><Relationship Id="rId20" Type="http://schemas.openxmlformats.org/officeDocument/2006/relationships/hyperlink" Target="https://www.cteonline.org/curriculum/outline/welding-technology-model/cMb2Kf" TargetMode="External"/><Relationship Id="rId29" Type="http://schemas.openxmlformats.org/officeDocument/2006/relationships/hyperlink" Target="https://www.cteonline.org/curriculum/outline/welding-technology-model/cMb2K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teonline.org/curriculum/outline/welding-technology-model/cMb2Kf" TargetMode="External"/><Relationship Id="rId24" Type="http://schemas.openxmlformats.org/officeDocument/2006/relationships/hyperlink" Target="https://www.cteonline.org/curriculum/outline/welding-technology-model/cMb2K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teonline.org/curriculum/outline/welding-technology-model/cMb2Kf" TargetMode="External"/><Relationship Id="rId23" Type="http://schemas.openxmlformats.org/officeDocument/2006/relationships/hyperlink" Target="https://www.cteonline.org/curriculum/outline/welding-technology-model/cMb2Kf" TargetMode="External"/><Relationship Id="rId28" Type="http://schemas.openxmlformats.org/officeDocument/2006/relationships/hyperlink" Target="https://www.cteonline.org/curriculum/outline/welding-technology-model/cMb2K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teonline.org/curriculum/outline/welding-technology-model/cMb2Kf" TargetMode="External"/><Relationship Id="rId19" Type="http://schemas.openxmlformats.org/officeDocument/2006/relationships/hyperlink" Target="https://www.cteonline.org/curriculum/outline/welding-technology-model/cMb2K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teonline.org/curriculum/outline/welding-technology-model/cMb2Kf" TargetMode="External"/><Relationship Id="rId14" Type="http://schemas.openxmlformats.org/officeDocument/2006/relationships/hyperlink" Target="https://www.cteonline.org/curriculum/outline/welding-technology-model/cMb2Kf" TargetMode="External"/><Relationship Id="rId22" Type="http://schemas.openxmlformats.org/officeDocument/2006/relationships/hyperlink" Target="https://www.cteonline.org/curriculum/outline/welding-technology-model/cMb2Kf" TargetMode="External"/><Relationship Id="rId27" Type="http://schemas.openxmlformats.org/officeDocument/2006/relationships/hyperlink" Target="https://www.cteonline.org/curriculum/outline/welding-technology-model/cMb2K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Michael F.</dc:creator>
  <cp:lastModifiedBy>Michael Swartz</cp:lastModifiedBy>
  <cp:revision>9</cp:revision>
  <cp:lastPrinted>2017-07-31T20:25:00Z</cp:lastPrinted>
  <dcterms:created xsi:type="dcterms:W3CDTF">2018-08-29T13:08:00Z</dcterms:created>
  <dcterms:modified xsi:type="dcterms:W3CDTF">2018-08-29T19:30:00Z</dcterms:modified>
</cp:coreProperties>
</file>